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18 декабря 2024 г.                                                                              № 544-т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таблицу 1 приложения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30 ноября 2021 года № 246-т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таблицу 1 приложения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к приказу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30 ноября 2021 года № 246-т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б установлении обществу с ограниченной ответственностью «Ямал-Энерго» тарифов </w:t>
        <w:br/>
        <w:t xml:space="preserve">на горячую воду в открытых системах теплоснабжения (горячего водоснабжения) для расчетов с потребителями села Толька муниципального образования муниципальный округ Красноселькуп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ский район Ямало-Ненецкого автономного округа, на 2021 - 2025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544-т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</w:t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котор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е внос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таблицу 1 приложения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к приказу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30 ноября 2021 года № 246-т</w:t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720" w:firstLine="0"/>
        <w:jc w:val="both"/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Таблицу 1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26"/>
        <w:ind w:left="0"/>
        <w:jc w:val="right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«Таблица 1</w:t>
      </w:r>
      <w:r/>
    </w:p>
    <w:tbl>
      <w:tblPr>
        <w:tblpPr w:horzAnchor="margin" w:tblpXSpec="center" w:vertAnchor="text" w:tblpY="151" w:leftFromText="180" w:topFromText="0" w:rightFromText="180" w:bottomFromText="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2462"/>
        <w:gridCol w:w="2111"/>
        <w:gridCol w:w="2525"/>
        <w:gridCol w:w="2535"/>
        <w:gridCol w:w="2550"/>
        <w:gridCol w:w="2348"/>
      </w:tblGrid>
      <w:tr>
        <w:trPr>
          <w:cantSplit/>
          <w:trHeight w:val="560"/>
        </w:trPr>
        <w:tc>
          <w:tcPr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62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contextualSpacing/>
              <w:jc w:val="center"/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Компонент на теплоноситель</w:t>
            </w:r>
            <w:r>
              <w:rPr>
                <w:rFonts w:ascii="Liberation Sans" w:hAnsi="Liberation Sans" w:eastAsia="Liberation Serif" w:cs="Liberation Sans"/>
                <w:color w:val="1f497d"/>
                <w:sz w:val="24"/>
                <w:szCs w:val="24"/>
              </w:rPr>
              <w:t xml:space="preserve">&lt;*&gt;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руб./куб. 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525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W w:w="7433" w:type="dxa"/>
            <w:vAlign w:val="top"/>
            <w:textDirection w:val="lrTb"/>
            <w:noWrap w:val="false"/>
          </w:tcPr>
          <w:p>
            <w:pPr>
              <w:pStyle w:val="826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Компонент на тепловую энергию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437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111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525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53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Одноставочный,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489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Двухставочный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111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525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535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550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Ставка за мощность, тыс. руб./Гкал/час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 мес.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348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Ставка за тепловую энергию,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62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525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535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550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348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gridSpan w:val="2"/>
            <w:tcW w:w="3002" w:type="dxa"/>
            <w:vAlign w:val="top"/>
            <w:textDirection w:val="lrTb"/>
            <w:noWrap w:val="false"/>
          </w:tcPr>
          <w:p>
            <w:pPr>
              <w:pStyle w:val="826"/>
              <w:jc w:val="left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5"/>
            <w:tcBorders>
              <w:bottom w:val="single" w:color="000000" w:sz="4" w:space="0"/>
            </w:tcBorders>
            <w:tcW w:w="1206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Иные потребители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4"/>
        </w:trPr>
        <w:tc>
          <w:tcP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6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highlight w:val="none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bCs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ans" w:hAnsi="Liberation Sans" w:eastAsia="Liberation Serif" w:cs="Liberation Sans"/>
                <w:bCs/>
                <w:sz w:val="24"/>
                <w:szCs w:val="24"/>
              </w:rPr>
              <w:t xml:space="preserve">«Ямал-Энерго»</w:t>
            </w: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106,23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11242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12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106,23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11242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27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127,26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30.11.202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16301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12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highlight w:val="yellow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151,93</w:t>
            </w:r>
            <w:r>
              <w:rPr>
                <w:rFonts w:ascii="Liberation Sans" w:hAnsi="Liberation Sans" w:cs="Liberation Sans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20828</w:t>
            </w:r>
            <w:r>
              <w:rPr>
                <w:rFonts w:ascii="Liberation Sans" w:hAnsi="Liberation Sans" w:cs="Liberation Sans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86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highlight w:val="yellow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151,93</w:t>
            </w:r>
            <w:r>
              <w:rPr>
                <w:rFonts w:ascii="Liberation Sans" w:hAnsi="Liberation Sans" w:cs="Liberation Sans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20828</w:t>
            </w:r>
            <w:r>
              <w:rPr>
                <w:rFonts w:ascii="Liberation Sans" w:hAnsi="Liberation Sans" w:cs="Liberation Sans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4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highlight w:val="yellow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151,93</w:t>
            </w:r>
            <w:r>
              <w:rPr>
                <w:rFonts w:ascii="Liberation Sans" w:hAnsi="Liberation Sans" w:cs="Liberation Sans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19945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4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170,99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19945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4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170,99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18128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4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205,18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18128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277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206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Потребители, имеющие право на льготные та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рифы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instrText xml:space="preserve">HYPERLINK consultantplus://offline/ref=76E5AF8FFCC0E56A69ADF5D3AB7834181639D5640599E001CDE19EA8FEADA31FB39B2047CFB08F464933AFs4MFF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  <w:trHeight w:val="554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34,88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01.12.2021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31.12.2021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1252,78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9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34,88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30.06.2022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1252,78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9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36,0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30.11.2022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1295,3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49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39,31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1411,96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81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</w:rPr>
              <w:t xml:space="preserve">39,31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31.12.2023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1411,96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81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</w:rPr>
              <w:t xml:space="preserve">39,31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1411,96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81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42,45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1524,91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81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42,45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1524,91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81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46,01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1662,15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206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instrText xml:space="preserve">HYPERLINK consultantplus://offline/ref=48977515256B0848E4C011BCB47C3CB5985371030FA63D9F943DFD833746B068BEEF49FB49B7D04F6D1340s6QAF </w:instrTex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ff"/>
                <w:sz w:val="24"/>
                <w:szCs w:val="24"/>
              </w:rPr>
              <w:t xml:space="preserve">&lt;***&gt;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(тарифы указываются с учетом НДС)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instrText xml:space="preserve">HYPERLINK consultantplus://offline/ref=48977515256B0848E4C011BCB47C3CB5985371030FA63D9F943DFD833746B068BEEF49FB49B7D04F6D1340s6QBF </w:instrTex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ff"/>
                <w:sz w:val="24"/>
                <w:szCs w:val="24"/>
              </w:rPr>
              <w:t xml:space="preserve">&lt;****&gt;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fldChar w:fldCharType="end"/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7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41,86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01.12.2021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1503,34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7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41,86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30.06.2022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1503,34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7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43,28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30.11.2022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1554,45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67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47,17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1694,35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7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47,17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1694,35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7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47,17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1694,35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7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50,94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1829,89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7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50,94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1829,89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7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55,21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1994,58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&lt;*&gt;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В случае неутверждения тарифа на теплоноситель в отношении источника тепловой энергии применяется расчетная стоимость 1 куб. м воды.</w:t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Потребители, имеющие право на льготные тарифы,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</w:t>
        <w:br/>
        <w:t xml:space="preserve">по обращению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</w:t>
        <w:br/>
        <w:t xml:space="preserve">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pStyle w:val="826"/>
        <w:contextualSpacing/>
        <w:ind w:firstLine="53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</w:t>
        <w:tab/>
        <w:tab/>
        <w:tab/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sectPr>
      <w:footnotePr/>
      <w:endnotePr/>
      <w:type w:val="nextPage"/>
      <w:pgSz w:w="16838" w:h="11906" w:orient="landscape"/>
      <w:pgMar w:top="1134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29</cp:revision>
  <dcterms:modified xsi:type="dcterms:W3CDTF">2024-12-17T15:10:13Z</dcterms:modified>
</cp:coreProperties>
</file>